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D8CB" w14:textId="77777777" w:rsidR="00DA275D" w:rsidRDefault="00DA275D">
      <w:r>
        <w:t xml:space="preserve">Figure 2 </w:t>
      </w:r>
    </w:p>
    <w:tbl>
      <w:tblPr>
        <w:tblStyle w:val="TableGrid"/>
        <w:tblW w:w="0" w:type="auto"/>
        <w:tblLook w:val="04A0" w:firstRow="1" w:lastRow="0" w:firstColumn="1" w:lastColumn="0" w:noHBand="0" w:noVBand="1"/>
      </w:tblPr>
      <w:tblGrid>
        <w:gridCol w:w="1385"/>
        <w:gridCol w:w="917"/>
        <w:gridCol w:w="1495"/>
        <w:gridCol w:w="1389"/>
        <w:gridCol w:w="2203"/>
        <w:gridCol w:w="6559"/>
      </w:tblGrid>
      <w:tr w:rsidR="00DA275D" w:rsidRPr="00B019DE" w14:paraId="5D898432" w14:textId="77777777" w:rsidTr="00987731">
        <w:tc>
          <w:tcPr>
            <w:tcW w:w="1385" w:type="dxa"/>
          </w:tcPr>
          <w:p w14:paraId="40A9AA54" w14:textId="77777777" w:rsidR="00DA275D" w:rsidRPr="00B019DE" w:rsidRDefault="00DA275D" w:rsidP="00987731">
            <w:pPr>
              <w:rPr>
                <w:rFonts w:ascii="Arial" w:hAnsi="Arial" w:cs="Arial"/>
                <w:b/>
                <w:sz w:val="20"/>
              </w:rPr>
            </w:pPr>
            <w:r w:rsidRPr="00B019DE">
              <w:rPr>
                <w:rFonts w:ascii="Arial" w:hAnsi="Arial" w:cs="Arial"/>
                <w:b/>
                <w:sz w:val="20"/>
              </w:rPr>
              <w:t xml:space="preserve">Authors </w:t>
            </w:r>
          </w:p>
        </w:tc>
        <w:tc>
          <w:tcPr>
            <w:tcW w:w="917" w:type="dxa"/>
          </w:tcPr>
          <w:p w14:paraId="47F83667" w14:textId="77777777" w:rsidR="00DA275D" w:rsidRPr="00B019DE" w:rsidRDefault="00DA275D" w:rsidP="00987731">
            <w:pPr>
              <w:rPr>
                <w:rFonts w:ascii="Arial" w:hAnsi="Arial" w:cs="Arial"/>
                <w:b/>
                <w:sz w:val="20"/>
              </w:rPr>
            </w:pPr>
            <w:r w:rsidRPr="00B019DE">
              <w:rPr>
                <w:rFonts w:ascii="Arial" w:hAnsi="Arial" w:cs="Arial"/>
                <w:b/>
                <w:sz w:val="20"/>
              </w:rPr>
              <w:t xml:space="preserve">Animal </w:t>
            </w:r>
          </w:p>
        </w:tc>
        <w:tc>
          <w:tcPr>
            <w:tcW w:w="1495" w:type="dxa"/>
          </w:tcPr>
          <w:p w14:paraId="184BD7C0" w14:textId="77777777" w:rsidR="00DA275D" w:rsidRPr="00B019DE" w:rsidRDefault="00DA275D" w:rsidP="00987731">
            <w:pPr>
              <w:rPr>
                <w:rFonts w:ascii="Arial" w:hAnsi="Arial" w:cs="Arial"/>
                <w:b/>
                <w:sz w:val="20"/>
              </w:rPr>
            </w:pPr>
            <w:r w:rsidRPr="00B019DE">
              <w:rPr>
                <w:rFonts w:ascii="Arial" w:hAnsi="Arial" w:cs="Arial"/>
                <w:b/>
                <w:sz w:val="20"/>
              </w:rPr>
              <w:t xml:space="preserve">Sources of Stem Cells </w:t>
            </w:r>
          </w:p>
        </w:tc>
        <w:tc>
          <w:tcPr>
            <w:tcW w:w="1389" w:type="dxa"/>
          </w:tcPr>
          <w:p w14:paraId="30A09B6C" w14:textId="77777777" w:rsidR="00DA275D" w:rsidRPr="00B019DE" w:rsidRDefault="00DA275D" w:rsidP="00987731">
            <w:pPr>
              <w:rPr>
                <w:rFonts w:ascii="Arial" w:hAnsi="Arial" w:cs="Arial"/>
                <w:b/>
                <w:sz w:val="20"/>
              </w:rPr>
            </w:pPr>
            <w:r w:rsidRPr="00B019DE">
              <w:rPr>
                <w:rFonts w:ascii="Arial" w:hAnsi="Arial" w:cs="Arial"/>
                <w:b/>
                <w:sz w:val="20"/>
              </w:rPr>
              <w:t xml:space="preserve">Method of delivery </w:t>
            </w:r>
          </w:p>
        </w:tc>
        <w:tc>
          <w:tcPr>
            <w:tcW w:w="2203" w:type="dxa"/>
          </w:tcPr>
          <w:p w14:paraId="1C773A54" w14:textId="77777777" w:rsidR="00DA275D" w:rsidRPr="00B019DE" w:rsidRDefault="00DA275D" w:rsidP="00987731">
            <w:pPr>
              <w:rPr>
                <w:rFonts w:ascii="Arial" w:hAnsi="Arial" w:cs="Arial"/>
                <w:b/>
                <w:sz w:val="20"/>
              </w:rPr>
            </w:pPr>
            <w:r w:rsidRPr="00B019DE">
              <w:rPr>
                <w:rFonts w:ascii="Arial" w:hAnsi="Arial" w:cs="Arial"/>
                <w:b/>
                <w:sz w:val="20"/>
              </w:rPr>
              <w:t xml:space="preserve">Method of analysis </w:t>
            </w:r>
          </w:p>
        </w:tc>
        <w:tc>
          <w:tcPr>
            <w:tcW w:w="6559" w:type="dxa"/>
          </w:tcPr>
          <w:p w14:paraId="250575EB" w14:textId="77777777" w:rsidR="00DA275D" w:rsidRPr="00B019DE" w:rsidRDefault="00DA275D" w:rsidP="00987731">
            <w:pPr>
              <w:rPr>
                <w:rFonts w:ascii="Arial" w:hAnsi="Arial" w:cs="Arial"/>
                <w:b/>
                <w:sz w:val="20"/>
              </w:rPr>
            </w:pPr>
            <w:r w:rsidRPr="00B019DE">
              <w:rPr>
                <w:rFonts w:ascii="Arial" w:hAnsi="Arial" w:cs="Arial"/>
                <w:b/>
                <w:sz w:val="20"/>
              </w:rPr>
              <w:t xml:space="preserve">Significant findings </w:t>
            </w:r>
          </w:p>
        </w:tc>
      </w:tr>
      <w:tr w:rsidR="00DA275D" w:rsidRPr="00D438B3" w14:paraId="35E02972" w14:textId="77777777" w:rsidTr="00987731">
        <w:tc>
          <w:tcPr>
            <w:tcW w:w="1385" w:type="dxa"/>
          </w:tcPr>
          <w:p w14:paraId="7FA16B78" w14:textId="31FE8368" w:rsidR="00DA275D" w:rsidRPr="00D438B3" w:rsidRDefault="00DA275D" w:rsidP="00987731">
            <w:pPr>
              <w:rPr>
                <w:rFonts w:ascii="Arial" w:hAnsi="Arial" w:cs="Arial"/>
                <w:sz w:val="20"/>
              </w:rPr>
            </w:pPr>
            <w:r w:rsidRPr="00D438B3">
              <w:rPr>
                <w:rFonts w:ascii="Arial" w:hAnsi="Arial" w:cs="Arial"/>
                <w:sz w:val="20"/>
              </w:rPr>
              <w:t>Murphy, Fink, Hunziker</w:t>
            </w:r>
            <w:r>
              <w:rPr>
                <w:rFonts w:ascii="Arial" w:hAnsi="Arial" w:cs="Arial"/>
                <w:sz w:val="20"/>
              </w:rPr>
              <w:t xml:space="preserve"> </w:t>
            </w:r>
            <w:r w:rsidRPr="00D438B3">
              <w:rPr>
                <w:rFonts w:ascii="Arial" w:hAnsi="Arial" w:cs="Arial"/>
                <w:sz w:val="20"/>
              </w:rPr>
              <w:t>. and Barry</w:t>
            </w:r>
            <w:r w:rsidRPr="00FC1285">
              <w:rPr>
                <w:rFonts w:ascii="Arial" w:hAnsi="Arial" w:cs="Arial"/>
                <w:sz w:val="20"/>
                <w:vertAlign w:val="superscript"/>
              </w:rPr>
              <w:t>3</w:t>
            </w:r>
            <w:r w:rsidR="00EF08F0">
              <w:rPr>
                <w:rFonts w:ascii="Arial" w:hAnsi="Arial" w:cs="Arial"/>
                <w:sz w:val="20"/>
                <w:vertAlign w:val="superscript"/>
              </w:rPr>
              <w:t>0</w:t>
            </w:r>
          </w:p>
        </w:tc>
        <w:tc>
          <w:tcPr>
            <w:tcW w:w="917" w:type="dxa"/>
          </w:tcPr>
          <w:p w14:paraId="6EA4DDB7" w14:textId="77777777" w:rsidR="00DA275D" w:rsidRPr="00D438B3" w:rsidRDefault="00DA275D" w:rsidP="00987731">
            <w:pPr>
              <w:rPr>
                <w:rFonts w:ascii="Arial" w:hAnsi="Arial" w:cs="Arial"/>
                <w:sz w:val="20"/>
              </w:rPr>
            </w:pPr>
            <w:r w:rsidRPr="00D438B3">
              <w:rPr>
                <w:rFonts w:ascii="Arial" w:hAnsi="Arial" w:cs="Arial"/>
                <w:sz w:val="20"/>
              </w:rPr>
              <w:t>Caprine</w:t>
            </w:r>
          </w:p>
        </w:tc>
        <w:tc>
          <w:tcPr>
            <w:tcW w:w="1495" w:type="dxa"/>
          </w:tcPr>
          <w:p w14:paraId="45DAB0E3" w14:textId="77777777" w:rsidR="00DA275D" w:rsidRPr="00D438B3" w:rsidRDefault="00DA275D" w:rsidP="00987731">
            <w:pPr>
              <w:rPr>
                <w:rFonts w:ascii="Arial" w:hAnsi="Arial" w:cs="Arial"/>
                <w:sz w:val="20"/>
              </w:rPr>
            </w:pPr>
            <w:r w:rsidRPr="00D438B3">
              <w:rPr>
                <w:rFonts w:ascii="Arial" w:hAnsi="Arial" w:cs="Arial"/>
                <w:sz w:val="20"/>
              </w:rPr>
              <w:t xml:space="preserve">Bone Marrow </w:t>
            </w:r>
          </w:p>
        </w:tc>
        <w:tc>
          <w:tcPr>
            <w:tcW w:w="1389" w:type="dxa"/>
          </w:tcPr>
          <w:p w14:paraId="71C0D498" w14:textId="77777777" w:rsidR="00DA275D" w:rsidRDefault="00DA275D" w:rsidP="00987731">
            <w:pPr>
              <w:rPr>
                <w:rFonts w:ascii="Arial" w:hAnsi="Arial" w:cs="Arial"/>
                <w:sz w:val="20"/>
              </w:rPr>
            </w:pPr>
            <w:r>
              <w:rPr>
                <w:rFonts w:ascii="Arial" w:hAnsi="Arial" w:cs="Arial"/>
                <w:sz w:val="20"/>
              </w:rPr>
              <w:t>1 d</w:t>
            </w:r>
            <w:r w:rsidRPr="00D438B3">
              <w:rPr>
                <w:rFonts w:ascii="Arial" w:hAnsi="Arial" w:cs="Arial"/>
                <w:sz w:val="20"/>
              </w:rPr>
              <w:t xml:space="preserve">irect </w:t>
            </w:r>
            <w:r>
              <w:rPr>
                <w:rFonts w:ascii="Arial" w:hAnsi="Arial" w:cs="Arial"/>
                <w:sz w:val="20"/>
              </w:rPr>
              <w:t>IA</w:t>
            </w:r>
            <w:r w:rsidRPr="00D438B3">
              <w:rPr>
                <w:rFonts w:ascii="Arial" w:hAnsi="Arial" w:cs="Arial"/>
                <w:sz w:val="20"/>
              </w:rPr>
              <w:t xml:space="preserve"> injection </w:t>
            </w:r>
          </w:p>
          <w:p w14:paraId="0DA8CD26" w14:textId="77777777" w:rsidR="00DA275D" w:rsidRPr="00D438B3" w:rsidRDefault="00DA275D" w:rsidP="00987731">
            <w:pPr>
              <w:rPr>
                <w:rFonts w:ascii="Arial" w:hAnsi="Arial" w:cs="Arial"/>
                <w:sz w:val="20"/>
              </w:rPr>
            </w:pPr>
          </w:p>
          <w:p w14:paraId="1FD2DD15" w14:textId="77777777" w:rsidR="00DA275D" w:rsidRPr="00D438B3" w:rsidRDefault="00DA275D" w:rsidP="00987731">
            <w:pPr>
              <w:rPr>
                <w:rFonts w:ascii="Arial" w:hAnsi="Arial" w:cs="Arial"/>
                <w:sz w:val="20"/>
              </w:rPr>
            </w:pPr>
            <w:r>
              <w:rPr>
                <w:rFonts w:ascii="Arial" w:hAnsi="Arial" w:cs="Arial"/>
                <w:sz w:val="20"/>
              </w:rPr>
              <w:t xml:space="preserve">Scaffold-free </w:t>
            </w:r>
          </w:p>
        </w:tc>
        <w:tc>
          <w:tcPr>
            <w:tcW w:w="2203" w:type="dxa"/>
          </w:tcPr>
          <w:p w14:paraId="777843E5" w14:textId="77777777" w:rsidR="00DA275D" w:rsidRPr="00D438B3" w:rsidRDefault="00DA275D" w:rsidP="00987731">
            <w:pPr>
              <w:rPr>
                <w:rFonts w:ascii="Arial" w:hAnsi="Arial" w:cs="Arial"/>
                <w:sz w:val="20"/>
              </w:rPr>
            </w:pPr>
            <w:r w:rsidRPr="00D438B3">
              <w:rPr>
                <w:rFonts w:ascii="Arial" w:hAnsi="Arial" w:cs="Arial"/>
                <w:sz w:val="20"/>
              </w:rPr>
              <w:t xml:space="preserve">Histochemical analyse </w:t>
            </w:r>
            <w:r>
              <w:rPr>
                <w:rFonts w:ascii="Arial" w:hAnsi="Arial" w:cs="Arial"/>
                <w:sz w:val="20"/>
              </w:rPr>
              <w:t>6- and 20-weeks</w:t>
            </w:r>
            <w:r w:rsidRPr="00D438B3">
              <w:rPr>
                <w:rFonts w:ascii="Arial" w:hAnsi="Arial" w:cs="Arial"/>
                <w:sz w:val="20"/>
              </w:rPr>
              <w:t xml:space="preserve"> post-injection</w:t>
            </w:r>
          </w:p>
        </w:tc>
        <w:tc>
          <w:tcPr>
            <w:tcW w:w="6559" w:type="dxa"/>
          </w:tcPr>
          <w:p w14:paraId="5BD19D27" w14:textId="77777777" w:rsidR="00DA275D" w:rsidRDefault="00DA275D" w:rsidP="00987731">
            <w:pPr>
              <w:jc w:val="both"/>
              <w:rPr>
                <w:rFonts w:ascii="Arial" w:hAnsi="Arial" w:cs="Arial"/>
                <w:sz w:val="20"/>
              </w:rPr>
            </w:pPr>
            <w:r>
              <w:rPr>
                <w:rFonts w:ascii="Arial" w:hAnsi="Arial" w:cs="Arial"/>
                <w:sz w:val="20"/>
              </w:rPr>
              <w:t xml:space="preserve">6 weeks = less reduction of articular cartilage matrix staining, fewer osteophytes present, less subchondral bone plat thickening and reduced loss of cartilage structure to subchondral bone in cell treated group compared to control group. </w:t>
            </w:r>
          </w:p>
          <w:p w14:paraId="1386CFD7" w14:textId="77777777" w:rsidR="00DA275D" w:rsidRPr="00D438B3" w:rsidRDefault="00DA275D" w:rsidP="00987731">
            <w:pPr>
              <w:jc w:val="both"/>
              <w:rPr>
                <w:rFonts w:ascii="Arial" w:hAnsi="Arial" w:cs="Arial"/>
                <w:sz w:val="20"/>
              </w:rPr>
            </w:pPr>
            <w:r>
              <w:rPr>
                <w:rFonts w:ascii="Arial" w:hAnsi="Arial" w:cs="Arial"/>
                <w:sz w:val="20"/>
              </w:rPr>
              <w:t xml:space="preserve">20 weeks = both control and treated had significant OA lesions, evidence of repair tissue in 7 of 9 treated joints.  </w:t>
            </w:r>
          </w:p>
        </w:tc>
      </w:tr>
      <w:tr w:rsidR="00DA275D" w:rsidRPr="00D438B3" w14:paraId="284408C3" w14:textId="77777777" w:rsidTr="00987731">
        <w:trPr>
          <w:trHeight w:val="489"/>
        </w:trPr>
        <w:tc>
          <w:tcPr>
            <w:tcW w:w="1385" w:type="dxa"/>
            <w:vMerge w:val="restart"/>
          </w:tcPr>
          <w:p w14:paraId="73A2D90C" w14:textId="0EE3F171" w:rsidR="00DA275D" w:rsidRPr="00FC1285" w:rsidRDefault="00DA275D" w:rsidP="00987731">
            <w:pPr>
              <w:rPr>
                <w:rFonts w:ascii="Arial" w:hAnsi="Arial" w:cs="Arial"/>
                <w:sz w:val="20"/>
              </w:rPr>
            </w:pPr>
            <w:r w:rsidRPr="00D438B3">
              <w:rPr>
                <w:rFonts w:ascii="Arial" w:hAnsi="Arial" w:cs="Arial"/>
                <w:sz w:val="20"/>
              </w:rPr>
              <w:t>Toghraie</w:t>
            </w:r>
            <w:r>
              <w:rPr>
                <w:rFonts w:ascii="Arial" w:hAnsi="Arial" w:cs="Arial"/>
                <w:sz w:val="20"/>
              </w:rPr>
              <w:t xml:space="preserve"> </w:t>
            </w:r>
            <w:r w:rsidRPr="00BA255F">
              <w:rPr>
                <w:rFonts w:ascii="Arial" w:hAnsi="Arial" w:cs="Arial"/>
                <w:i/>
                <w:sz w:val="20"/>
              </w:rPr>
              <w:t>et al</w:t>
            </w:r>
            <w:r w:rsidRPr="00FC1285">
              <w:rPr>
                <w:rFonts w:ascii="Arial" w:hAnsi="Arial" w:cs="Arial"/>
                <w:sz w:val="20"/>
                <w:vertAlign w:val="superscript"/>
              </w:rPr>
              <w:t>3</w:t>
            </w:r>
            <w:r w:rsidR="00EF08F0">
              <w:rPr>
                <w:rFonts w:ascii="Arial" w:hAnsi="Arial" w:cs="Arial"/>
                <w:sz w:val="20"/>
                <w:vertAlign w:val="superscript"/>
              </w:rPr>
              <w:t>1</w:t>
            </w:r>
          </w:p>
        </w:tc>
        <w:tc>
          <w:tcPr>
            <w:tcW w:w="917" w:type="dxa"/>
            <w:vMerge w:val="restart"/>
          </w:tcPr>
          <w:p w14:paraId="496D8B02" w14:textId="77777777" w:rsidR="00DA275D" w:rsidRDefault="00DA275D" w:rsidP="00987731">
            <w:pPr>
              <w:rPr>
                <w:rFonts w:ascii="Arial" w:hAnsi="Arial" w:cs="Arial"/>
                <w:sz w:val="20"/>
              </w:rPr>
            </w:pPr>
            <w:r>
              <w:rPr>
                <w:rFonts w:ascii="Arial" w:hAnsi="Arial" w:cs="Arial"/>
                <w:sz w:val="20"/>
              </w:rPr>
              <w:t xml:space="preserve">Rabbit </w:t>
            </w:r>
          </w:p>
          <w:p w14:paraId="0A7AAA11" w14:textId="77777777" w:rsidR="00DA275D" w:rsidRPr="005B3EA8" w:rsidRDefault="00DA275D" w:rsidP="00987731">
            <w:pPr>
              <w:rPr>
                <w:rFonts w:ascii="Arial" w:hAnsi="Arial" w:cs="Arial"/>
                <w:sz w:val="20"/>
              </w:rPr>
            </w:pPr>
          </w:p>
        </w:tc>
        <w:tc>
          <w:tcPr>
            <w:tcW w:w="1495" w:type="dxa"/>
            <w:vMerge w:val="restart"/>
          </w:tcPr>
          <w:p w14:paraId="1EDAF597" w14:textId="77777777" w:rsidR="00DA275D" w:rsidRPr="00D438B3" w:rsidRDefault="00DA275D" w:rsidP="00987731">
            <w:pPr>
              <w:rPr>
                <w:rFonts w:ascii="Arial" w:hAnsi="Arial" w:cs="Arial"/>
                <w:sz w:val="20"/>
              </w:rPr>
            </w:pPr>
            <w:r>
              <w:rPr>
                <w:rFonts w:ascii="Arial" w:hAnsi="Arial" w:cs="Arial"/>
                <w:sz w:val="20"/>
              </w:rPr>
              <w:t xml:space="preserve">Infrapatellar Fat Pad </w:t>
            </w:r>
          </w:p>
        </w:tc>
        <w:tc>
          <w:tcPr>
            <w:tcW w:w="1389" w:type="dxa"/>
            <w:vMerge w:val="restart"/>
          </w:tcPr>
          <w:p w14:paraId="510C6A29" w14:textId="77777777" w:rsidR="00DA275D" w:rsidRPr="00D438B3" w:rsidRDefault="00DA275D" w:rsidP="00987731">
            <w:pPr>
              <w:rPr>
                <w:rFonts w:ascii="Arial" w:hAnsi="Arial" w:cs="Arial"/>
                <w:sz w:val="20"/>
              </w:rPr>
            </w:pPr>
            <w:r>
              <w:rPr>
                <w:rFonts w:ascii="Arial" w:hAnsi="Arial" w:cs="Arial"/>
                <w:sz w:val="20"/>
              </w:rPr>
              <w:t xml:space="preserve">As above </w:t>
            </w:r>
            <w:r>
              <w:t xml:space="preserve"> </w:t>
            </w:r>
          </w:p>
        </w:tc>
        <w:tc>
          <w:tcPr>
            <w:tcW w:w="2203" w:type="dxa"/>
          </w:tcPr>
          <w:p w14:paraId="64518B99" w14:textId="77777777" w:rsidR="00DA275D" w:rsidRPr="00D438B3" w:rsidRDefault="00DA275D" w:rsidP="00987731">
            <w:pPr>
              <w:rPr>
                <w:rFonts w:ascii="Arial" w:hAnsi="Arial" w:cs="Arial"/>
                <w:sz w:val="20"/>
              </w:rPr>
            </w:pPr>
            <w:r>
              <w:rPr>
                <w:rFonts w:ascii="Arial" w:hAnsi="Arial" w:cs="Arial"/>
                <w:sz w:val="20"/>
              </w:rPr>
              <w:t xml:space="preserve">X rays at 12, 16 and 20 weeks </w:t>
            </w:r>
          </w:p>
        </w:tc>
        <w:tc>
          <w:tcPr>
            <w:tcW w:w="6559" w:type="dxa"/>
          </w:tcPr>
          <w:p w14:paraId="27654B38" w14:textId="77777777" w:rsidR="00DA275D" w:rsidRDefault="00DA275D" w:rsidP="00987731">
            <w:pPr>
              <w:jc w:val="both"/>
              <w:rPr>
                <w:rFonts w:ascii="Arial" w:hAnsi="Arial" w:cs="Arial"/>
                <w:sz w:val="20"/>
              </w:rPr>
            </w:pPr>
            <w:r>
              <w:rPr>
                <w:rFonts w:ascii="Arial" w:hAnsi="Arial" w:cs="Arial"/>
                <w:sz w:val="20"/>
              </w:rPr>
              <w:t>12 weeks = all knees have signs of OA</w:t>
            </w:r>
          </w:p>
          <w:p w14:paraId="740366A0" w14:textId="77777777" w:rsidR="00DA275D" w:rsidRDefault="00DA275D" w:rsidP="00987731">
            <w:pPr>
              <w:jc w:val="both"/>
              <w:rPr>
                <w:rFonts w:ascii="Arial" w:hAnsi="Arial" w:cs="Arial"/>
                <w:sz w:val="20"/>
              </w:rPr>
            </w:pPr>
            <w:r>
              <w:rPr>
                <w:rFonts w:ascii="Arial" w:hAnsi="Arial" w:cs="Arial"/>
                <w:sz w:val="20"/>
              </w:rPr>
              <w:t xml:space="preserve">16 weeks = cell treated have same or reduced OA score, control group have increased OA score </w:t>
            </w:r>
          </w:p>
          <w:p w14:paraId="41850CAC" w14:textId="77777777" w:rsidR="00DA275D" w:rsidRPr="00D438B3" w:rsidRDefault="00DA275D" w:rsidP="00987731">
            <w:pPr>
              <w:jc w:val="both"/>
              <w:rPr>
                <w:rFonts w:ascii="Arial" w:hAnsi="Arial" w:cs="Arial"/>
                <w:sz w:val="20"/>
              </w:rPr>
            </w:pPr>
            <w:r>
              <w:rPr>
                <w:rFonts w:ascii="Arial" w:hAnsi="Arial" w:cs="Arial"/>
                <w:sz w:val="20"/>
              </w:rPr>
              <w:t xml:space="preserve">20 weeks = decrease OA score in 4/5 cell treated and increased OA score in 4/5 control group </w:t>
            </w:r>
          </w:p>
        </w:tc>
      </w:tr>
      <w:tr w:rsidR="00DA275D" w:rsidRPr="00D438B3" w14:paraId="2FCA7F10" w14:textId="77777777" w:rsidTr="00987731">
        <w:trPr>
          <w:trHeight w:val="488"/>
        </w:trPr>
        <w:tc>
          <w:tcPr>
            <w:tcW w:w="1385" w:type="dxa"/>
            <w:vMerge/>
          </w:tcPr>
          <w:p w14:paraId="5510F85B" w14:textId="77777777" w:rsidR="00DA275D" w:rsidRPr="00D438B3" w:rsidRDefault="00DA275D" w:rsidP="00987731">
            <w:pPr>
              <w:rPr>
                <w:rFonts w:ascii="Arial" w:hAnsi="Arial" w:cs="Arial"/>
                <w:sz w:val="20"/>
              </w:rPr>
            </w:pPr>
          </w:p>
        </w:tc>
        <w:tc>
          <w:tcPr>
            <w:tcW w:w="917" w:type="dxa"/>
            <w:vMerge/>
          </w:tcPr>
          <w:p w14:paraId="07149AE5" w14:textId="77777777" w:rsidR="00DA275D" w:rsidRDefault="00DA275D" w:rsidP="00987731">
            <w:pPr>
              <w:rPr>
                <w:rFonts w:ascii="Arial" w:hAnsi="Arial" w:cs="Arial"/>
                <w:sz w:val="20"/>
              </w:rPr>
            </w:pPr>
          </w:p>
        </w:tc>
        <w:tc>
          <w:tcPr>
            <w:tcW w:w="1495" w:type="dxa"/>
            <w:vMerge/>
          </w:tcPr>
          <w:p w14:paraId="3C8702E2" w14:textId="77777777" w:rsidR="00DA275D" w:rsidRDefault="00DA275D" w:rsidP="00987731">
            <w:pPr>
              <w:rPr>
                <w:rFonts w:ascii="Arial" w:hAnsi="Arial" w:cs="Arial"/>
                <w:sz w:val="20"/>
              </w:rPr>
            </w:pPr>
          </w:p>
        </w:tc>
        <w:tc>
          <w:tcPr>
            <w:tcW w:w="1389" w:type="dxa"/>
            <w:vMerge/>
          </w:tcPr>
          <w:p w14:paraId="22865AB7" w14:textId="77777777" w:rsidR="00DA275D" w:rsidRPr="00D438B3" w:rsidRDefault="00DA275D" w:rsidP="00987731">
            <w:pPr>
              <w:rPr>
                <w:rFonts w:ascii="Arial" w:hAnsi="Arial" w:cs="Arial"/>
                <w:sz w:val="20"/>
              </w:rPr>
            </w:pPr>
          </w:p>
        </w:tc>
        <w:tc>
          <w:tcPr>
            <w:tcW w:w="2203" w:type="dxa"/>
          </w:tcPr>
          <w:p w14:paraId="1752E451" w14:textId="77777777" w:rsidR="00DA275D" w:rsidRPr="00D438B3" w:rsidRDefault="00DA275D" w:rsidP="00987731">
            <w:pPr>
              <w:rPr>
                <w:rFonts w:ascii="Arial" w:hAnsi="Arial" w:cs="Arial"/>
                <w:sz w:val="20"/>
              </w:rPr>
            </w:pPr>
            <w:r>
              <w:rPr>
                <w:rFonts w:ascii="Arial" w:hAnsi="Arial" w:cs="Arial"/>
                <w:sz w:val="20"/>
              </w:rPr>
              <w:t xml:space="preserve">Histological evaluation 16 and 20 weeks </w:t>
            </w:r>
          </w:p>
        </w:tc>
        <w:tc>
          <w:tcPr>
            <w:tcW w:w="6559" w:type="dxa"/>
          </w:tcPr>
          <w:p w14:paraId="620DB5FD" w14:textId="77777777" w:rsidR="00DA275D" w:rsidRDefault="00DA275D" w:rsidP="00987731">
            <w:pPr>
              <w:jc w:val="both"/>
              <w:rPr>
                <w:rFonts w:ascii="Arial" w:hAnsi="Arial" w:cs="Arial"/>
                <w:sz w:val="20"/>
              </w:rPr>
            </w:pPr>
            <w:r>
              <w:rPr>
                <w:rFonts w:ascii="Arial" w:hAnsi="Arial" w:cs="Arial"/>
                <w:sz w:val="20"/>
              </w:rPr>
              <w:t xml:space="preserve">16 weeks = no significant difference between cell treated and control </w:t>
            </w:r>
          </w:p>
          <w:p w14:paraId="430B9E73" w14:textId="77777777" w:rsidR="00DA275D" w:rsidRPr="00D438B3" w:rsidRDefault="00DA275D" w:rsidP="00987731">
            <w:pPr>
              <w:jc w:val="both"/>
              <w:rPr>
                <w:rFonts w:ascii="Arial" w:hAnsi="Arial" w:cs="Arial"/>
                <w:sz w:val="20"/>
              </w:rPr>
            </w:pPr>
            <w:r>
              <w:rPr>
                <w:rFonts w:ascii="Arial" w:hAnsi="Arial" w:cs="Arial"/>
                <w:sz w:val="20"/>
              </w:rPr>
              <w:t xml:space="preserve">20 weeks = cell treated had reduction in severity of lesions whereas control had continued worsening of lesions </w:t>
            </w:r>
          </w:p>
        </w:tc>
      </w:tr>
      <w:tr w:rsidR="00DA275D" w:rsidRPr="00D438B3" w14:paraId="62410E44" w14:textId="77777777" w:rsidTr="00987731">
        <w:trPr>
          <w:trHeight w:val="488"/>
        </w:trPr>
        <w:tc>
          <w:tcPr>
            <w:tcW w:w="1385" w:type="dxa"/>
          </w:tcPr>
          <w:p w14:paraId="06796820" w14:textId="2351E5AA" w:rsidR="00DA275D" w:rsidRPr="00FC1285" w:rsidRDefault="00DA275D" w:rsidP="00987731">
            <w:r>
              <w:t xml:space="preserve">Shah </w:t>
            </w:r>
            <w:r w:rsidRPr="00BA255F">
              <w:rPr>
                <w:i/>
              </w:rPr>
              <w:t>et al</w:t>
            </w:r>
            <w:r w:rsidRPr="00FC1285">
              <w:rPr>
                <w:vertAlign w:val="superscript"/>
              </w:rPr>
              <w:t>3</w:t>
            </w:r>
            <w:r w:rsidR="00EF08F0">
              <w:rPr>
                <w:vertAlign w:val="superscript"/>
              </w:rPr>
              <w:t>2</w:t>
            </w:r>
          </w:p>
        </w:tc>
        <w:tc>
          <w:tcPr>
            <w:tcW w:w="917" w:type="dxa"/>
          </w:tcPr>
          <w:p w14:paraId="7A9C48E5" w14:textId="77777777" w:rsidR="00DA275D" w:rsidRDefault="00DA275D" w:rsidP="00987731">
            <w:pPr>
              <w:rPr>
                <w:rFonts w:ascii="Arial" w:hAnsi="Arial" w:cs="Arial"/>
                <w:sz w:val="20"/>
              </w:rPr>
            </w:pPr>
            <w:r>
              <w:rPr>
                <w:rFonts w:ascii="Arial" w:hAnsi="Arial" w:cs="Arial"/>
                <w:sz w:val="20"/>
              </w:rPr>
              <w:t>Canine</w:t>
            </w:r>
          </w:p>
        </w:tc>
        <w:tc>
          <w:tcPr>
            <w:tcW w:w="1495" w:type="dxa"/>
          </w:tcPr>
          <w:p w14:paraId="58A57F03" w14:textId="77777777" w:rsidR="00DA275D" w:rsidRDefault="00DA275D" w:rsidP="00987731">
            <w:pPr>
              <w:rPr>
                <w:rFonts w:ascii="Arial" w:hAnsi="Arial" w:cs="Arial"/>
                <w:sz w:val="20"/>
              </w:rPr>
            </w:pPr>
            <w:r>
              <w:rPr>
                <w:rFonts w:ascii="Arial" w:hAnsi="Arial" w:cs="Arial"/>
                <w:sz w:val="20"/>
              </w:rPr>
              <w:t xml:space="preserve">Adipose tissue </w:t>
            </w:r>
          </w:p>
        </w:tc>
        <w:tc>
          <w:tcPr>
            <w:tcW w:w="1389" w:type="dxa"/>
          </w:tcPr>
          <w:p w14:paraId="60067FD0" w14:textId="77777777" w:rsidR="00DA275D" w:rsidRPr="00C47BB8" w:rsidRDefault="00DA275D" w:rsidP="00987731">
            <w:pPr>
              <w:rPr>
                <w:rFonts w:ascii="Arial" w:hAnsi="Arial" w:cs="Arial"/>
                <w:sz w:val="20"/>
                <w:szCs w:val="20"/>
              </w:rPr>
            </w:pPr>
            <w:r w:rsidRPr="00C47BB8">
              <w:rPr>
                <w:rFonts w:ascii="Arial" w:hAnsi="Arial" w:cs="Arial"/>
                <w:sz w:val="20"/>
                <w:szCs w:val="20"/>
              </w:rPr>
              <w:t xml:space="preserve">1 direct </w:t>
            </w:r>
            <w:r>
              <w:rPr>
                <w:rFonts w:ascii="Arial" w:hAnsi="Arial" w:cs="Arial"/>
                <w:sz w:val="20"/>
                <w:szCs w:val="20"/>
              </w:rPr>
              <w:t xml:space="preserve">IA </w:t>
            </w:r>
            <w:r w:rsidRPr="00C47BB8">
              <w:rPr>
                <w:rFonts w:ascii="Arial" w:hAnsi="Arial" w:cs="Arial"/>
                <w:sz w:val="20"/>
                <w:szCs w:val="20"/>
              </w:rPr>
              <w:t>injection</w:t>
            </w:r>
          </w:p>
          <w:p w14:paraId="746233B6" w14:textId="77777777" w:rsidR="00DA275D" w:rsidRPr="00C47BB8" w:rsidRDefault="00DA275D" w:rsidP="00987731">
            <w:pPr>
              <w:rPr>
                <w:rFonts w:ascii="Arial" w:hAnsi="Arial" w:cs="Arial"/>
                <w:sz w:val="20"/>
                <w:szCs w:val="20"/>
              </w:rPr>
            </w:pPr>
            <w:r w:rsidRPr="00C47BB8">
              <w:rPr>
                <w:rFonts w:ascii="Arial" w:hAnsi="Arial" w:cs="Arial"/>
                <w:sz w:val="20"/>
                <w:szCs w:val="20"/>
              </w:rPr>
              <w:t>Scaffold-free</w:t>
            </w:r>
          </w:p>
        </w:tc>
        <w:tc>
          <w:tcPr>
            <w:tcW w:w="2203" w:type="dxa"/>
          </w:tcPr>
          <w:p w14:paraId="7666D58F" w14:textId="77777777" w:rsidR="00DA275D" w:rsidRPr="00C47BB8" w:rsidRDefault="00DA275D" w:rsidP="00987731">
            <w:pPr>
              <w:rPr>
                <w:rFonts w:ascii="Arial" w:hAnsi="Arial" w:cs="Arial"/>
                <w:sz w:val="20"/>
                <w:szCs w:val="20"/>
              </w:rPr>
            </w:pPr>
            <w:r w:rsidRPr="00C47BB8">
              <w:rPr>
                <w:rFonts w:ascii="Arial" w:hAnsi="Arial" w:cs="Arial"/>
                <w:sz w:val="20"/>
                <w:szCs w:val="20"/>
              </w:rPr>
              <w:t>Physical examination and QOL* 10 weeks post-injection</w:t>
            </w:r>
          </w:p>
        </w:tc>
        <w:tc>
          <w:tcPr>
            <w:tcW w:w="6559" w:type="dxa"/>
          </w:tcPr>
          <w:p w14:paraId="621BC64F" w14:textId="77777777" w:rsidR="00DA275D" w:rsidRPr="00C47BB8" w:rsidRDefault="00DA275D" w:rsidP="00987731">
            <w:pPr>
              <w:jc w:val="both"/>
              <w:rPr>
                <w:rFonts w:ascii="Arial" w:hAnsi="Arial" w:cs="Arial"/>
                <w:color w:val="000000"/>
                <w:sz w:val="20"/>
                <w:szCs w:val="20"/>
                <w:shd w:val="clear" w:color="auto" w:fill="FFFFFF"/>
              </w:rPr>
            </w:pPr>
            <w:r w:rsidRPr="00C47BB8">
              <w:rPr>
                <w:rFonts w:ascii="Arial" w:hAnsi="Arial" w:cs="Arial"/>
                <w:sz w:val="20"/>
                <w:szCs w:val="20"/>
              </w:rPr>
              <w:t xml:space="preserve">10 weeks = </w:t>
            </w:r>
            <w:r>
              <w:rPr>
                <w:rFonts w:ascii="Arial" w:hAnsi="Arial" w:cs="Arial"/>
                <w:color w:val="000000"/>
                <w:sz w:val="20"/>
                <w:szCs w:val="20"/>
                <w:shd w:val="clear" w:color="auto" w:fill="FFFFFF"/>
              </w:rPr>
              <w:t xml:space="preserve">significant </w:t>
            </w:r>
            <w:r w:rsidRPr="00C47BB8">
              <w:rPr>
                <w:rFonts w:ascii="Arial" w:hAnsi="Arial" w:cs="Arial"/>
                <w:color w:val="000000"/>
                <w:sz w:val="20"/>
                <w:szCs w:val="20"/>
                <w:shd w:val="clear" w:color="auto" w:fill="FFFFFF"/>
              </w:rPr>
              <w:t>improvement in pain reduction, improvement of mobility, and increased daily activity as measured as quality of life score</w:t>
            </w:r>
          </w:p>
          <w:p w14:paraId="5E93AC2C" w14:textId="77777777" w:rsidR="00DA275D" w:rsidRPr="00C47BB8" w:rsidRDefault="00DA275D" w:rsidP="00987731">
            <w:pPr>
              <w:jc w:val="both"/>
              <w:rPr>
                <w:rFonts w:ascii="Arial" w:hAnsi="Arial" w:cs="Arial"/>
                <w:sz w:val="20"/>
                <w:szCs w:val="20"/>
              </w:rPr>
            </w:pPr>
            <w:r w:rsidRPr="00C47BB8">
              <w:rPr>
                <w:rFonts w:ascii="Arial" w:hAnsi="Arial" w:cs="Arial"/>
                <w:color w:val="000000"/>
                <w:sz w:val="20"/>
                <w:szCs w:val="20"/>
                <w:shd w:val="clear" w:color="auto" w:fill="FFFFFF"/>
              </w:rPr>
              <w:t>12% exhibit no changes</w:t>
            </w:r>
          </w:p>
        </w:tc>
      </w:tr>
      <w:tr w:rsidR="00DA275D" w14:paraId="0CBFB9F9" w14:textId="77777777" w:rsidTr="00987731">
        <w:trPr>
          <w:trHeight w:val="488"/>
        </w:trPr>
        <w:tc>
          <w:tcPr>
            <w:tcW w:w="1385" w:type="dxa"/>
          </w:tcPr>
          <w:p w14:paraId="74CD3153" w14:textId="345837E9" w:rsidR="00DA275D" w:rsidRPr="00FC1285" w:rsidRDefault="00DA275D" w:rsidP="00987731">
            <w:pPr>
              <w:rPr>
                <w:rFonts w:ascii="Arial" w:hAnsi="Arial" w:cs="Arial"/>
                <w:sz w:val="20"/>
              </w:rPr>
            </w:pPr>
            <w:r>
              <w:rPr>
                <w:rFonts w:ascii="Arial" w:hAnsi="Arial" w:cs="Arial"/>
                <w:sz w:val="20"/>
              </w:rPr>
              <w:t xml:space="preserve">Black </w:t>
            </w:r>
            <w:r w:rsidRPr="00BA255F">
              <w:rPr>
                <w:rFonts w:ascii="Arial" w:hAnsi="Arial" w:cs="Arial"/>
                <w:i/>
                <w:sz w:val="20"/>
              </w:rPr>
              <w:t>et al</w:t>
            </w:r>
            <w:r w:rsidRPr="00FC1285">
              <w:rPr>
                <w:rFonts w:ascii="Arial" w:hAnsi="Arial" w:cs="Arial"/>
                <w:sz w:val="20"/>
                <w:vertAlign w:val="superscript"/>
              </w:rPr>
              <w:t>3</w:t>
            </w:r>
            <w:r w:rsidR="00EF08F0">
              <w:rPr>
                <w:rFonts w:ascii="Arial" w:hAnsi="Arial" w:cs="Arial"/>
                <w:sz w:val="20"/>
                <w:vertAlign w:val="superscript"/>
              </w:rPr>
              <w:t>3</w:t>
            </w:r>
          </w:p>
        </w:tc>
        <w:tc>
          <w:tcPr>
            <w:tcW w:w="917" w:type="dxa"/>
          </w:tcPr>
          <w:p w14:paraId="7EEA2932" w14:textId="77777777" w:rsidR="00DA275D" w:rsidRDefault="00DA275D" w:rsidP="00987731">
            <w:pPr>
              <w:rPr>
                <w:rFonts w:ascii="Arial" w:hAnsi="Arial" w:cs="Arial"/>
                <w:sz w:val="20"/>
              </w:rPr>
            </w:pPr>
            <w:r>
              <w:rPr>
                <w:rFonts w:ascii="Arial" w:hAnsi="Arial" w:cs="Arial"/>
                <w:sz w:val="20"/>
              </w:rPr>
              <w:t xml:space="preserve">Canine </w:t>
            </w:r>
          </w:p>
        </w:tc>
        <w:tc>
          <w:tcPr>
            <w:tcW w:w="1495" w:type="dxa"/>
          </w:tcPr>
          <w:p w14:paraId="783B60AA" w14:textId="77777777" w:rsidR="00DA275D" w:rsidRDefault="00DA275D" w:rsidP="00987731">
            <w:pPr>
              <w:rPr>
                <w:rFonts w:ascii="Arial" w:hAnsi="Arial" w:cs="Arial"/>
                <w:sz w:val="20"/>
              </w:rPr>
            </w:pPr>
            <w:r>
              <w:rPr>
                <w:rFonts w:ascii="Arial" w:hAnsi="Arial" w:cs="Arial"/>
                <w:sz w:val="20"/>
              </w:rPr>
              <w:t>Paralumbar subcutaneous adipose tissue</w:t>
            </w:r>
          </w:p>
        </w:tc>
        <w:tc>
          <w:tcPr>
            <w:tcW w:w="1389" w:type="dxa"/>
          </w:tcPr>
          <w:p w14:paraId="18F8638E" w14:textId="77777777" w:rsidR="00DA275D" w:rsidRPr="00D438B3" w:rsidRDefault="00DA275D" w:rsidP="00987731">
            <w:pPr>
              <w:rPr>
                <w:rFonts w:ascii="Arial" w:hAnsi="Arial" w:cs="Arial"/>
                <w:sz w:val="20"/>
              </w:rPr>
            </w:pPr>
            <w:r>
              <w:rPr>
                <w:rFonts w:ascii="Arial" w:hAnsi="Arial" w:cs="Arial"/>
                <w:sz w:val="20"/>
              </w:rPr>
              <w:t xml:space="preserve">As above </w:t>
            </w:r>
          </w:p>
        </w:tc>
        <w:tc>
          <w:tcPr>
            <w:tcW w:w="2203" w:type="dxa"/>
          </w:tcPr>
          <w:p w14:paraId="0C0FF390" w14:textId="77777777" w:rsidR="00DA275D" w:rsidRDefault="00DA275D" w:rsidP="00987731">
            <w:pPr>
              <w:rPr>
                <w:rFonts w:ascii="Arial" w:hAnsi="Arial" w:cs="Arial"/>
                <w:sz w:val="20"/>
              </w:rPr>
            </w:pPr>
            <w:r>
              <w:rPr>
                <w:rFonts w:ascii="Arial" w:hAnsi="Arial" w:cs="Arial"/>
                <w:sz w:val="20"/>
              </w:rPr>
              <w:t>Physical examination 90 days and 180 day post-injection</w:t>
            </w:r>
          </w:p>
        </w:tc>
        <w:tc>
          <w:tcPr>
            <w:tcW w:w="6559" w:type="dxa"/>
          </w:tcPr>
          <w:p w14:paraId="5AFF9EE6" w14:textId="77777777" w:rsidR="00DA275D" w:rsidRDefault="00DA275D" w:rsidP="00987731">
            <w:pPr>
              <w:jc w:val="both"/>
              <w:rPr>
                <w:rFonts w:ascii="Arial" w:hAnsi="Arial" w:cs="Arial"/>
                <w:sz w:val="20"/>
              </w:rPr>
            </w:pPr>
            <w:r>
              <w:rPr>
                <w:rFonts w:ascii="Arial" w:hAnsi="Arial" w:cs="Arial"/>
                <w:sz w:val="20"/>
              </w:rPr>
              <w:t>90 days = significant improvement in clinical score of lameness at walk, in lameness at trot, in pain on manipulation, range of motion and functional disability when compared to baseline</w:t>
            </w:r>
          </w:p>
          <w:p w14:paraId="1B7FB141" w14:textId="77777777" w:rsidR="00DA275D" w:rsidRDefault="00DA275D" w:rsidP="00987731">
            <w:pPr>
              <w:jc w:val="both"/>
              <w:rPr>
                <w:rFonts w:ascii="Arial" w:hAnsi="Arial" w:cs="Arial"/>
                <w:sz w:val="20"/>
              </w:rPr>
            </w:pPr>
            <w:r>
              <w:rPr>
                <w:rFonts w:ascii="Arial" w:hAnsi="Arial" w:cs="Arial"/>
                <w:sz w:val="20"/>
              </w:rPr>
              <w:t xml:space="preserve">180 days = </w:t>
            </w:r>
            <w:r w:rsidRPr="0037641F">
              <w:rPr>
                <w:rFonts w:ascii="Arial" w:hAnsi="Arial" w:cs="Arial"/>
                <w:sz w:val="20"/>
              </w:rPr>
              <w:t>significant improvement was detected for lameness at trot and range of motion</w:t>
            </w:r>
            <w:r>
              <w:rPr>
                <w:rFonts w:ascii="Arial" w:hAnsi="Arial" w:cs="Arial"/>
                <w:sz w:val="20"/>
              </w:rPr>
              <w:t xml:space="preserve">. No </w:t>
            </w:r>
            <w:r w:rsidRPr="0037641F">
              <w:rPr>
                <w:rFonts w:ascii="Arial" w:hAnsi="Arial" w:cs="Arial"/>
                <w:sz w:val="20"/>
              </w:rPr>
              <w:t>significant improvement for lameness at walk</w:t>
            </w:r>
            <w:r>
              <w:rPr>
                <w:rFonts w:ascii="Arial" w:hAnsi="Arial" w:cs="Arial"/>
                <w:sz w:val="20"/>
              </w:rPr>
              <w:t xml:space="preserve">, </w:t>
            </w:r>
            <w:r w:rsidRPr="0037641F">
              <w:rPr>
                <w:rFonts w:ascii="Arial" w:hAnsi="Arial" w:cs="Arial"/>
                <w:sz w:val="20"/>
              </w:rPr>
              <w:t>pain on manipulation and functional disability</w:t>
            </w:r>
            <w:r>
              <w:rPr>
                <w:rFonts w:ascii="Arial" w:hAnsi="Arial" w:cs="Arial"/>
                <w:sz w:val="20"/>
              </w:rPr>
              <w:t xml:space="preserve"> when compared to baseline </w:t>
            </w:r>
          </w:p>
        </w:tc>
      </w:tr>
      <w:tr w:rsidR="00DA275D" w:rsidRPr="00C47BB8" w14:paraId="3ED2FAFE" w14:textId="77777777" w:rsidTr="00987731">
        <w:trPr>
          <w:trHeight w:val="488"/>
        </w:trPr>
        <w:tc>
          <w:tcPr>
            <w:tcW w:w="1385" w:type="dxa"/>
            <w:tcBorders>
              <w:bottom w:val="single" w:sz="4" w:space="0" w:color="auto"/>
            </w:tcBorders>
          </w:tcPr>
          <w:p w14:paraId="324E3124" w14:textId="549B134A" w:rsidR="00DA275D" w:rsidRPr="00FC1285" w:rsidRDefault="00DA275D" w:rsidP="00987731">
            <w:pPr>
              <w:rPr>
                <w:rFonts w:ascii="Arial" w:hAnsi="Arial" w:cs="Arial"/>
                <w:color w:val="000000"/>
                <w:sz w:val="20"/>
                <w:szCs w:val="20"/>
                <w:shd w:val="clear" w:color="auto" w:fill="FFFFFF"/>
              </w:rPr>
            </w:pPr>
            <w:r w:rsidRPr="002B2F22">
              <w:rPr>
                <w:rFonts w:ascii="Arial" w:hAnsi="Arial" w:cs="Arial"/>
                <w:color w:val="000000"/>
                <w:sz w:val="20"/>
                <w:szCs w:val="20"/>
                <w:shd w:val="clear" w:color="auto" w:fill="FFFFFF"/>
              </w:rPr>
              <w:t>Mariñas</w:t>
            </w:r>
            <w:r w:rsidRPr="002B2F22">
              <w:rPr>
                <w:rFonts w:ascii="Arial" w:hAnsi="Arial" w:cs="Arial"/>
                <w:sz w:val="20"/>
                <w:szCs w:val="20"/>
              </w:rPr>
              <w:t xml:space="preserve"> -Pardo </w:t>
            </w:r>
            <w:r w:rsidRPr="00BA255F">
              <w:rPr>
                <w:rFonts w:ascii="Arial" w:hAnsi="Arial" w:cs="Arial"/>
                <w:i/>
                <w:sz w:val="20"/>
                <w:szCs w:val="20"/>
              </w:rPr>
              <w:t>et</w:t>
            </w:r>
            <w:r w:rsidRPr="00BA255F">
              <w:rPr>
                <w:i/>
              </w:rPr>
              <w:t xml:space="preserve"> al</w:t>
            </w:r>
            <w:r w:rsidRPr="00FC1285">
              <w:rPr>
                <w:vertAlign w:val="superscript"/>
              </w:rPr>
              <w:t>3</w:t>
            </w:r>
            <w:r w:rsidR="00EF08F0">
              <w:rPr>
                <w:vertAlign w:val="superscript"/>
              </w:rPr>
              <w:t>4</w:t>
            </w:r>
          </w:p>
        </w:tc>
        <w:tc>
          <w:tcPr>
            <w:tcW w:w="917" w:type="dxa"/>
            <w:tcBorders>
              <w:bottom w:val="single" w:sz="4" w:space="0" w:color="auto"/>
            </w:tcBorders>
          </w:tcPr>
          <w:p w14:paraId="7CC007F1" w14:textId="77777777" w:rsidR="00DA275D" w:rsidRDefault="00DA275D" w:rsidP="00987731">
            <w:pPr>
              <w:rPr>
                <w:rFonts w:ascii="Arial" w:hAnsi="Arial" w:cs="Arial"/>
                <w:sz w:val="20"/>
              </w:rPr>
            </w:pPr>
            <w:r>
              <w:rPr>
                <w:rFonts w:ascii="Arial" w:hAnsi="Arial" w:cs="Arial"/>
                <w:sz w:val="20"/>
              </w:rPr>
              <w:t>Horse</w:t>
            </w:r>
          </w:p>
        </w:tc>
        <w:tc>
          <w:tcPr>
            <w:tcW w:w="1495" w:type="dxa"/>
            <w:tcBorders>
              <w:bottom w:val="single" w:sz="4" w:space="0" w:color="auto"/>
            </w:tcBorders>
          </w:tcPr>
          <w:p w14:paraId="6DFDAEE5" w14:textId="77777777" w:rsidR="00DA275D" w:rsidRDefault="00DA275D" w:rsidP="00987731">
            <w:pPr>
              <w:rPr>
                <w:rFonts w:ascii="Arial" w:hAnsi="Arial" w:cs="Arial"/>
                <w:sz w:val="20"/>
              </w:rPr>
            </w:pPr>
            <w:r>
              <w:rPr>
                <w:rFonts w:ascii="Arial" w:hAnsi="Arial" w:cs="Arial"/>
                <w:sz w:val="20"/>
              </w:rPr>
              <w:t xml:space="preserve">Intraperitoneal or subcutaneous adipose tissue </w:t>
            </w:r>
          </w:p>
        </w:tc>
        <w:tc>
          <w:tcPr>
            <w:tcW w:w="1389" w:type="dxa"/>
            <w:tcBorders>
              <w:bottom w:val="single" w:sz="4" w:space="0" w:color="auto"/>
            </w:tcBorders>
          </w:tcPr>
          <w:p w14:paraId="382B7B42" w14:textId="77777777" w:rsidR="00DA275D" w:rsidRPr="00C47BB8" w:rsidRDefault="00DA275D" w:rsidP="00987731">
            <w:pPr>
              <w:rPr>
                <w:rFonts w:ascii="Arial" w:hAnsi="Arial" w:cs="Arial"/>
                <w:sz w:val="20"/>
                <w:szCs w:val="20"/>
              </w:rPr>
            </w:pPr>
            <w:r w:rsidRPr="00C47BB8">
              <w:rPr>
                <w:rFonts w:ascii="Arial" w:hAnsi="Arial" w:cs="Arial"/>
                <w:sz w:val="20"/>
                <w:szCs w:val="20"/>
              </w:rPr>
              <w:t>3 direct</w:t>
            </w:r>
            <w:r>
              <w:rPr>
                <w:rFonts w:ascii="Arial" w:hAnsi="Arial" w:cs="Arial"/>
                <w:sz w:val="20"/>
                <w:szCs w:val="20"/>
              </w:rPr>
              <w:t xml:space="preserve"> IA </w:t>
            </w:r>
            <w:r w:rsidRPr="00C47BB8">
              <w:rPr>
                <w:rFonts w:ascii="Arial" w:hAnsi="Arial" w:cs="Arial"/>
                <w:sz w:val="20"/>
                <w:szCs w:val="20"/>
              </w:rPr>
              <w:t xml:space="preserve"> injection </w:t>
            </w:r>
          </w:p>
          <w:p w14:paraId="77245463" w14:textId="77777777" w:rsidR="00DA275D" w:rsidRPr="00C47BB8" w:rsidRDefault="00DA275D" w:rsidP="00987731">
            <w:pPr>
              <w:rPr>
                <w:rFonts w:ascii="Arial" w:hAnsi="Arial" w:cs="Arial"/>
                <w:sz w:val="20"/>
                <w:szCs w:val="20"/>
              </w:rPr>
            </w:pPr>
            <w:r w:rsidRPr="00C47BB8">
              <w:rPr>
                <w:rFonts w:ascii="Arial" w:hAnsi="Arial" w:cs="Arial"/>
                <w:sz w:val="20"/>
                <w:szCs w:val="20"/>
              </w:rPr>
              <w:t>Scaffold-free</w:t>
            </w:r>
          </w:p>
        </w:tc>
        <w:tc>
          <w:tcPr>
            <w:tcW w:w="2203" w:type="dxa"/>
            <w:tcBorders>
              <w:bottom w:val="single" w:sz="4" w:space="0" w:color="auto"/>
            </w:tcBorders>
          </w:tcPr>
          <w:p w14:paraId="47C649C2" w14:textId="77777777" w:rsidR="00DA275D" w:rsidRPr="00C47BB8" w:rsidRDefault="00DA275D" w:rsidP="00987731">
            <w:pPr>
              <w:rPr>
                <w:rFonts w:ascii="Arial" w:hAnsi="Arial" w:cs="Arial"/>
                <w:sz w:val="20"/>
                <w:szCs w:val="20"/>
              </w:rPr>
            </w:pPr>
            <w:r w:rsidRPr="00C47BB8">
              <w:rPr>
                <w:rFonts w:ascii="Arial" w:hAnsi="Arial" w:cs="Arial"/>
                <w:sz w:val="20"/>
                <w:szCs w:val="20"/>
              </w:rPr>
              <w:t xml:space="preserve">Physical examination </w:t>
            </w:r>
          </w:p>
          <w:p w14:paraId="1D08719E" w14:textId="77777777" w:rsidR="00DA275D" w:rsidRPr="00C47BB8" w:rsidRDefault="00DA275D" w:rsidP="00987731">
            <w:pPr>
              <w:rPr>
                <w:rFonts w:ascii="Arial" w:hAnsi="Arial" w:cs="Arial"/>
                <w:sz w:val="20"/>
                <w:szCs w:val="20"/>
              </w:rPr>
            </w:pPr>
            <w:r w:rsidRPr="00C47BB8">
              <w:rPr>
                <w:rFonts w:ascii="Arial" w:hAnsi="Arial" w:cs="Arial"/>
                <w:sz w:val="20"/>
                <w:szCs w:val="20"/>
              </w:rPr>
              <w:t xml:space="preserve">90 days post-injection </w:t>
            </w:r>
          </w:p>
        </w:tc>
        <w:tc>
          <w:tcPr>
            <w:tcW w:w="6559" w:type="dxa"/>
            <w:tcBorders>
              <w:bottom w:val="single" w:sz="4" w:space="0" w:color="auto"/>
            </w:tcBorders>
          </w:tcPr>
          <w:p w14:paraId="67FB8194" w14:textId="77777777" w:rsidR="00DA275D" w:rsidRPr="00C47BB8" w:rsidRDefault="00DA275D" w:rsidP="00987731">
            <w:pPr>
              <w:jc w:val="both"/>
              <w:rPr>
                <w:rFonts w:ascii="Arial" w:hAnsi="Arial" w:cs="Arial"/>
                <w:sz w:val="20"/>
                <w:szCs w:val="20"/>
              </w:rPr>
            </w:pPr>
            <w:r w:rsidRPr="00C47BB8">
              <w:rPr>
                <w:rFonts w:ascii="Arial" w:hAnsi="Arial" w:cs="Arial"/>
                <w:sz w:val="20"/>
                <w:szCs w:val="20"/>
              </w:rPr>
              <w:t xml:space="preserve">90 days = significant reduction in lameness grade and decreased need for local and/ore systemic anti-inflammatory therapies. </w:t>
            </w:r>
          </w:p>
          <w:p w14:paraId="36A6FA09" w14:textId="77777777" w:rsidR="00DA275D" w:rsidRPr="00C47BB8" w:rsidRDefault="00DA275D" w:rsidP="00987731">
            <w:pPr>
              <w:jc w:val="both"/>
              <w:rPr>
                <w:rFonts w:ascii="Arial" w:hAnsi="Arial" w:cs="Arial"/>
                <w:sz w:val="20"/>
                <w:szCs w:val="20"/>
              </w:rPr>
            </w:pPr>
          </w:p>
        </w:tc>
      </w:tr>
      <w:tr w:rsidR="00DA275D" w:rsidRPr="00C47BB8" w14:paraId="4ECF6C54" w14:textId="77777777" w:rsidTr="00987731">
        <w:trPr>
          <w:trHeight w:val="872"/>
        </w:trPr>
        <w:tc>
          <w:tcPr>
            <w:tcW w:w="1385" w:type="dxa"/>
            <w:tcBorders>
              <w:bottom w:val="single" w:sz="4" w:space="0" w:color="auto"/>
            </w:tcBorders>
          </w:tcPr>
          <w:p w14:paraId="3EF3C64E" w14:textId="17E7AA05" w:rsidR="00DA275D" w:rsidRPr="00FC1285" w:rsidRDefault="00DA275D" w:rsidP="00987731">
            <w:r>
              <w:t xml:space="preserve">Delling </w:t>
            </w:r>
            <w:r w:rsidRPr="00BA255F">
              <w:rPr>
                <w:i/>
              </w:rPr>
              <w:t>et al</w:t>
            </w:r>
            <w:r w:rsidRPr="00FC1285">
              <w:rPr>
                <w:vertAlign w:val="superscript"/>
              </w:rPr>
              <w:t>3</w:t>
            </w:r>
            <w:r w:rsidR="00EF08F0">
              <w:rPr>
                <w:vertAlign w:val="superscript"/>
              </w:rPr>
              <w:t>5</w:t>
            </w:r>
            <w:bookmarkStart w:id="0" w:name="_GoBack"/>
            <w:bookmarkEnd w:id="0"/>
          </w:p>
        </w:tc>
        <w:tc>
          <w:tcPr>
            <w:tcW w:w="917" w:type="dxa"/>
            <w:tcBorders>
              <w:bottom w:val="single" w:sz="4" w:space="0" w:color="auto"/>
            </w:tcBorders>
          </w:tcPr>
          <w:p w14:paraId="290B649F" w14:textId="77777777" w:rsidR="00DA275D" w:rsidRDefault="00DA275D" w:rsidP="00987731">
            <w:pPr>
              <w:rPr>
                <w:rFonts w:ascii="Arial" w:hAnsi="Arial" w:cs="Arial"/>
                <w:sz w:val="20"/>
              </w:rPr>
            </w:pPr>
            <w:r>
              <w:rPr>
                <w:rFonts w:ascii="Arial" w:hAnsi="Arial" w:cs="Arial"/>
                <w:sz w:val="20"/>
              </w:rPr>
              <w:t xml:space="preserve">Ovine </w:t>
            </w:r>
          </w:p>
        </w:tc>
        <w:tc>
          <w:tcPr>
            <w:tcW w:w="1495" w:type="dxa"/>
            <w:tcBorders>
              <w:bottom w:val="single" w:sz="4" w:space="0" w:color="auto"/>
            </w:tcBorders>
          </w:tcPr>
          <w:p w14:paraId="351FE9C6" w14:textId="77777777" w:rsidR="00DA275D" w:rsidRDefault="00DA275D" w:rsidP="00987731">
            <w:pPr>
              <w:rPr>
                <w:rFonts w:ascii="Arial" w:hAnsi="Arial" w:cs="Arial"/>
                <w:sz w:val="20"/>
              </w:rPr>
            </w:pPr>
            <w:r>
              <w:rPr>
                <w:rFonts w:ascii="Arial" w:hAnsi="Arial" w:cs="Arial"/>
                <w:sz w:val="20"/>
              </w:rPr>
              <w:t xml:space="preserve">Bone Marrow </w:t>
            </w:r>
          </w:p>
        </w:tc>
        <w:tc>
          <w:tcPr>
            <w:tcW w:w="1389" w:type="dxa"/>
            <w:tcBorders>
              <w:bottom w:val="single" w:sz="4" w:space="0" w:color="auto"/>
            </w:tcBorders>
          </w:tcPr>
          <w:p w14:paraId="24582BBF" w14:textId="77777777" w:rsidR="00DA275D" w:rsidRPr="00C47BB8" w:rsidRDefault="00DA275D" w:rsidP="00987731">
            <w:pPr>
              <w:rPr>
                <w:rFonts w:ascii="Arial" w:hAnsi="Arial" w:cs="Arial"/>
                <w:sz w:val="20"/>
                <w:szCs w:val="20"/>
              </w:rPr>
            </w:pPr>
            <w:r>
              <w:rPr>
                <w:rFonts w:ascii="Arial" w:hAnsi="Arial" w:cs="Arial"/>
                <w:sz w:val="20"/>
                <w:szCs w:val="20"/>
              </w:rPr>
              <w:t>As above</w:t>
            </w:r>
          </w:p>
        </w:tc>
        <w:tc>
          <w:tcPr>
            <w:tcW w:w="2203" w:type="dxa"/>
            <w:tcBorders>
              <w:bottom w:val="single" w:sz="4" w:space="0" w:color="auto"/>
            </w:tcBorders>
          </w:tcPr>
          <w:p w14:paraId="6592F78E" w14:textId="77777777" w:rsidR="00DA275D" w:rsidRPr="00C47BB8" w:rsidRDefault="00DA275D" w:rsidP="00987731">
            <w:pPr>
              <w:rPr>
                <w:rFonts w:ascii="Arial" w:hAnsi="Arial" w:cs="Arial"/>
                <w:sz w:val="20"/>
                <w:szCs w:val="20"/>
              </w:rPr>
            </w:pPr>
            <w:r>
              <w:rPr>
                <w:rFonts w:ascii="Arial" w:hAnsi="Arial" w:cs="Arial"/>
                <w:sz w:val="20"/>
                <w:szCs w:val="20"/>
              </w:rPr>
              <w:t>MRI at  1, 4, 8 and 12 weeks post-injection. Post-mortem evolution at 12 week</w:t>
            </w:r>
          </w:p>
        </w:tc>
        <w:tc>
          <w:tcPr>
            <w:tcW w:w="6559" w:type="dxa"/>
            <w:tcBorders>
              <w:bottom w:val="single" w:sz="4" w:space="0" w:color="auto"/>
            </w:tcBorders>
          </w:tcPr>
          <w:p w14:paraId="522FF321" w14:textId="77777777" w:rsidR="00DA275D" w:rsidRDefault="00DA275D" w:rsidP="00987731">
            <w:pPr>
              <w:jc w:val="both"/>
              <w:rPr>
                <w:rFonts w:ascii="Arial" w:hAnsi="Arial" w:cs="Arial"/>
                <w:sz w:val="20"/>
                <w:szCs w:val="20"/>
              </w:rPr>
            </w:pPr>
            <w:r>
              <w:rPr>
                <w:rFonts w:ascii="Arial" w:hAnsi="Arial" w:cs="Arial"/>
                <w:sz w:val="20"/>
                <w:szCs w:val="20"/>
              </w:rPr>
              <w:t xml:space="preserve">Significant deceleration of OA progression in treated group </w:t>
            </w:r>
          </w:p>
          <w:p w14:paraId="148F0C16" w14:textId="77777777" w:rsidR="00DA275D" w:rsidRPr="00C47BB8" w:rsidRDefault="00DA275D" w:rsidP="00987731">
            <w:pPr>
              <w:jc w:val="both"/>
              <w:rPr>
                <w:rFonts w:ascii="Arial" w:hAnsi="Arial" w:cs="Arial"/>
                <w:sz w:val="20"/>
                <w:szCs w:val="20"/>
              </w:rPr>
            </w:pPr>
            <w:r>
              <w:rPr>
                <w:rFonts w:ascii="Arial" w:hAnsi="Arial" w:cs="Arial"/>
                <w:sz w:val="20"/>
                <w:szCs w:val="20"/>
              </w:rPr>
              <w:t>No</w:t>
            </w:r>
            <w:r w:rsidRPr="00AD0BBF">
              <w:rPr>
                <w:rFonts w:ascii="Arial" w:hAnsi="Arial" w:cs="Arial"/>
                <w:sz w:val="20"/>
                <w:szCs w:val="20"/>
              </w:rPr>
              <w:t xml:space="preserve"> significant difference in the degree of OA detected </w:t>
            </w:r>
            <w:r>
              <w:rPr>
                <w:rFonts w:ascii="Arial" w:hAnsi="Arial" w:cs="Arial"/>
                <w:sz w:val="20"/>
                <w:szCs w:val="20"/>
              </w:rPr>
              <w:t>between control group and treated group</w:t>
            </w:r>
          </w:p>
        </w:tc>
      </w:tr>
    </w:tbl>
    <w:p w14:paraId="067B9F2C" w14:textId="77777777" w:rsidR="00DA275D" w:rsidRPr="00DA275D" w:rsidRDefault="00DA275D">
      <w:pPr>
        <w:rPr>
          <w:rFonts w:ascii="Arial" w:hAnsi="Arial" w:cs="Arial"/>
          <w:b/>
          <w:iCs/>
          <w:sz w:val="24"/>
        </w:rPr>
      </w:pPr>
      <w:r w:rsidRPr="00DA275D">
        <w:rPr>
          <w:rFonts w:ascii="Arial" w:hAnsi="Arial" w:cs="Arial"/>
          <w:b/>
          <w:iCs/>
          <w:sz w:val="24"/>
        </w:rPr>
        <w:t xml:space="preserve">Animal Model Studies </w:t>
      </w:r>
    </w:p>
    <w:p w14:paraId="4F96077E" w14:textId="77777777" w:rsidR="00DA275D" w:rsidRPr="00DA275D" w:rsidRDefault="00DA275D">
      <w:pPr>
        <w:rPr>
          <w:iCs/>
        </w:rPr>
      </w:pPr>
      <w:r w:rsidRPr="00DA275D">
        <w:rPr>
          <w:rFonts w:ascii="Arial" w:hAnsi="Arial" w:cs="Arial"/>
          <w:iCs/>
          <w:sz w:val="24"/>
        </w:rPr>
        <w:lastRenderedPageBreak/>
        <w:t>Summary of animal model studies and their results, on the use of stem cells to treat osteoarthritis. Significant = statistically significant. *(quality of life)</w:t>
      </w:r>
    </w:p>
    <w:sectPr w:rsidR="00DA275D" w:rsidRPr="00DA275D" w:rsidSect="00F4688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5D"/>
    <w:rsid w:val="00DA275D"/>
    <w:rsid w:val="00EF08F0"/>
    <w:rsid w:val="00F4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8DB1"/>
  <w15:chartTrackingRefBased/>
  <w15:docId w15:val="{E54EEAA0-E04A-4EFD-8F68-5DB654DD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Hennessy</dc:creator>
  <cp:keywords/>
  <dc:description/>
  <cp:lastModifiedBy>Matthew Hennessy</cp:lastModifiedBy>
  <cp:revision>3</cp:revision>
  <dcterms:created xsi:type="dcterms:W3CDTF">2019-08-07T14:38:00Z</dcterms:created>
  <dcterms:modified xsi:type="dcterms:W3CDTF">2019-08-08T14:53:00Z</dcterms:modified>
</cp:coreProperties>
</file>