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34" w:rsidRDefault="00B50B34" w:rsidP="00B50B34">
      <w:pPr>
        <w:spacing w:before="29" w:line="480" w:lineRule="auto"/>
        <w:ind w:left="389" w:right="36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-268605</wp:posOffset>
            </wp:positionV>
            <wp:extent cx="6487160" cy="4051300"/>
            <wp:effectExtent l="1905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76" t="13218" r="11943" b="1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B34" w:rsidRPr="00733F8F" w:rsidRDefault="00B50B34" w:rsidP="00B50B34">
      <w:pPr>
        <w:spacing w:before="29" w:line="480" w:lineRule="auto"/>
        <w:ind w:left="389" w:right="362"/>
        <w:jc w:val="both"/>
        <w:rPr>
          <w:rFonts w:ascii="Arial" w:eastAsia="Arial" w:hAnsi="Arial" w:cs="Arial"/>
          <w:sz w:val="24"/>
          <w:szCs w:val="24"/>
        </w:rPr>
      </w:pPr>
      <w:r w:rsidRPr="00733F8F">
        <w:rPr>
          <w:rFonts w:ascii="Arial" w:eastAsia="Arial" w:hAnsi="Arial" w:cs="Arial"/>
          <w:b/>
          <w:sz w:val="24"/>
          <w:szCs w:val="24"/>
        </w:rPr>
        <w:t xml:space="preserve">Figure 1. </w:t>
      </w:r>
      <w:r w:rsidRPr="00733F8F">
        <w:rPr>
          <w:rFonts w:ascii="Arial" w:eastAsia="Arial" w:hAnsi="Arial" w:cs="Arial"/>
          <w:sz w:val="24"/>
          <w:szCs w:val="24"/>
        </w:rPr>
        <w:t xml:space="preserve">The molecular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signalling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leading to the Nod-like Receptor Family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Pyrin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Domain  Containing  3  (NLRP3) 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inflammasome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 assembly  is  illustrated.  This  is initiated  by  myocardial  infarction.  Necrosis  of 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cardiomyocytes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 form  the  initial infarct region. Signal 1 (priming signal) in the form of a toll-like receptor (TLR) agonist, activates the TLR, causing mRNA synthesis for NLRP3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inflammasome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components;  NLRP3,  adaptor  protein  apoptosis-associated  speck-like  protein containing  CARD  (ASC),  pro-caspase-1,  pro-interleukin-1β  (pro-  IL-1β),  pro- interleukin-18  (pro-IL-18).  Adenosine 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triphosphate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 (ATP),  acting  as  a  trigger </w:t>
      </w:r>
      <w:r w:rsidRPr="00733F8F">
        <w:rPr>
          <w:rFonts w:ascii="Arial" w:eastAsia="Arial" w:hAnsi="Arial" w:cs="Arial"/>
          <w:position w:val="2"/>
          <w:sz w:val="24"/>
          <w:szCs w:val="24"/>
        </w:rPr>
        <w:t>signal  (signal  2),  activates  P</w:t>
      </w:r>
      <w:r w:rsidRPr="00733F8F">
        <w:rPr>
          <w:rFonts w:ascii="Arial" w:eastAsia="Arial" w:hAnsi="Arial" w:cs="Arial"/>
          <w:w w:val="98"/>
          <w:sz w:val="24"/>
          <w:szCs w:val="24"/>
        </w:rPr>
        <w:t>2</w:t>
      </w:r>
      <w:r w:rsidRPr="00733F8F">
        <w:rPr>
          <w:rFonts w:ascii="Arial" w:eastAsia="Arial" w:hAnsi="Arial" w:cs="Arial"/>
          <w:position w:val="2"/>
          <w:sz w:val="24"/>
          <w:szCs w:val="24"/>
        </w:rPr>
        <w:t>X</w:t>
      </w:r>
      <w:r w:rsidRPr="00733F8F">
        <w:rPr>
          <w:rFonts w:ascii="Arial" w:eastAsia="Arial" w:hAnsi="Arial" w:cs="Arial"/>
          <w:w w:val="98"/>
          <w:sz w:val="24"/>
          <w:szCs w:val="24"/>
        </w:rPr>
        <w:t>7</w:t>
      </w:r>
      <w:r w:rsidRPr="00733F8F">
        <w:rPr>
          <w:rFonts w:ascii="Arial" w:eastAsia="Arial" w:hAnsi="Arial" w:cs="Arial"/>
          <w:sz w:val="24"/>
          <w:szCs w:val="24"/>
        </w:rPr>
        <w:t xml:space="preserve">  </w:t>
      </w:r>
      <w:r w:rsidRPr="00733F8F">
        <w:rPr>
          <w:rFonts w:ascii="Arial" w:eastAsia="Arial" w:hAnsi="Arial" w:cs="Arial"/>
          <w:position w:val="2"/>
          <w:sz w:val="24"/>
          <w:szCs w:val="24"/>
        </w:rPr>
        <w:t>ATP  channel  to  cause  potassium  (K</w:t>
      </w:r>
      <w:r w:rsidRPr="00733F8F">
        <w:rPr>
          <w:rFonts w:ascii="Arial" w:eastAsia="Arial" w:hAnsi="Arial" w:cs="Arial"/>
          <w:w w:val="98"/>
          <w:position w:val="10"/>
          <w:sz w:val="24"/>
          <w:szCs w:val="24"/>
        </w:rPr>
        <w:t>+</w:t>
      </w:r>
      <w:r w:rsidRPr="00733F8F">
        <w:rPr>
          <w:rFonts w:ascii="Arial" w:eastAsia="Arial" w:hAnsi="Arial" w:cs="Arial"/>
          <w:position w:val="2"/>
          <w:sz w:val="24"/>
          <w:szCs w:val="24"/>
        </w:rPr>
        <w:t xml:space="preserve">)  efflux, </w:t>
      </w:r>
      <w:r w:rsidRPr="00733F8F">
        <w:rPr>
          <w:rFonts w:ascii="Arial" w:eastAsia="Arial" w:hAnsi="Arial" w:cs="Arial"/>
          <w:sz w:val="24"/>
          <w:szCs w:val="24"/>
        </w:rPr>
        <w:t xml:space="preserve">leading to NLRP3 activation and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oligmerisation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. Following ASC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polymerisation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and  pro-caspase-1  recruitment,  the 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inflammasome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 complex  is  assembled. Cleavage of pro-caspase-1 into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caspase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enables cleavage of pro- IL-1β and </w:t>
      </w:r>
      <w:r w:rsidRPr="00733F8F">
        <w:rPr>
          <w:rFonts w:ascii="Arial" w:eastAsia="Arial" w:hAnsi="Arial" w:cs="Arial"/>
          <w:sz w:val="24"/>
          <w:szCs w:val="24"/>
        </w:rPr>
        <w:lastRenderedPageBreak/>
        <w:t xml:space="preserve">pro- IL-18  into  IL-1β  and  IL-18  and  GSMD 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oligmerisation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.  NLRP3-inflammasome </w:t>
      </w:r>
      <w:r w:rsidRPr="00733F8F">
        <w:rPr>
          <w:rFonts w:ascii="Arial" w:eastAsia="Arial" w:hAnsi="Arial" w:cs="Arial"/>
          <w:position w:val="2"/>
          <w:sz w:val="24"/>
          <w:szCs w:val="24"/>
        </w:rPr>
        <w:t>assembly has two consequences (1) IL-1β and IL-18 exits the cell through P</w:t>
      </w:r>
      <w:r w:rsidRPr="00733F8F">
        <w:rPr>
          <w:rFonts w:ascii="Arial" w:eastAsia="Arial" w:hAnsi="Arial" w:cs="Arial"/>
          <w:w w:val="99"/>
          <w:sz w:val="24"/>
          <w:szCs w:val="24"/>
        </w:rPr>
        <w:t>2</w:t>
      </w:r>
      <w:r w:rsidRPr="00733F8F">
        <w:rPr>
          <w:rFonts w:ascii="Arial" w:eastAsia="Arial" w:hAnsi="Arial" w:cs="Arial"/>
          <w:position w:val="2"/>
          <w:sz w:val="24"/>
          <w:szCs w:val="24"/>
        </w:rPr>
        <w:t>X</w:t>
      </w:r>
      <w:r w:rsidRPr="00733F8F">
        <w:rPr>
          <w:rFonts w:ascii="Arial" w:eastAsia="Arial" w:hAnsi="Arial" w:cs="Arial"/>
          <w:w w:val="99"/>
          <w:sz w:val="24"/>
          <w:szCs w:val="24"/>
        </w:rPr>
        <w:t>7</w:t>
      </w:r>
      <w:r w:rsidRPr="00733F8F">
        <w:rPr>
          <w:rFonts w:ascii="Arial" w:eastAsia="Arial" w:hAnsi="Arial" w:cs="Arial"/>
          <w:position w:val="2"/>
          <w:sz w:val="24"/>
          <w:szCs w:val="24"/>
        </w:rPr>
        <w:t xml:space="preserve">; </w:t>
      </w:r>
      <w:r w:rsidRPr="00733F8F">
        <w:rPr>
          <w:rFonts w:ascii="Arial" w:eastAsia="Arial" w:hAnsi="Arial" w:cs="Arial"/>
          <w:sz w:val="24"/>
          <w:szCs w:val="24"/>
        </w:rPr>
        <w:t xml:space="preserve">IL-1β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autocrine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signalling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is mediated by interleukin-1 receptor (IL-1R) (2) GSMD </w:t>
      </w:r>
      <w:proofErr w:type="spellStart"/>
      <w:r w:rsidRPr="00733F8F">
        <w:rPr>
          <w:rFonts w:ascii="Arial" w:eastAsia="Arial" w:hAnsi="Arial" w:cs="Arial"/>
          <w:sz w:val="24"/>
          <w:szCs w:val="24"/>
        </w:rPr>
        <w:t>oligmerisation</w:t>
      </w:r>
      <w:proofErr w:type="spellEnd"/>
      <w:r w:rsidRPr="00733F8F">
        <w:rPr>
          <w:rFonts w:ascii="Arial" w:eastAsia="Arial" w:hAnsi="Arial" w:cs="Arial"/>
          <w:sz w:val="24"/>
          <w:szCs w:val="24"/>
        </w:rPr>
        <w:t xml:space="preserve">  enables  pore  formation  in  the  plasma  membrane,  thought  to</w:t>
      </w:r>
    </w:p>
    <w:p w:rsidR="00B50B34" w:rsidRPr="00733F8F" w:rsidRDefault="00B50B34" w:rsidP="00B50B34">
      <w:pPr>
        <w:spacing w:before="9" w:line="480" w:lineRule="auto"/>
        <w:ind w:left="389" w:right="3803"/>
        <w:jc w:val="both"/>
        <w:rPr>
          <w:rFonts w:ascii="Arial" w:eastAsia="Arial" w:hAnsi="Arial" w:cs="Arial"/>
          <w:sz w:val="24"/>
          <w:szCs w:val="24"/>
        </w:rPr>
      </w:pPr>
      <w:r w:rsidRPr="00733F8F">
        <w:rPr>
          <w:rFonts w:ascii="Arial" w:eastAsia="Arial" w:hAnsi="Arial" w:cs="Arial"/>
          <w:position w:val="-1"/>
          <w:sz w:val="24"/>
          <w:szCs w:val="24"/>
        </w:rPr>
        <w:t xml:space="preserve">mediate </w:t>
      </w:r>
      <w:proofErr w:type="spellStart"/>
      <w:r w:rsidRPr="00733F8F">
        <w:rPr>
          <w:rFonts w:ascii="Arial" w:eastAsia="Arial" w:hAnsi="Arial" w:cs="Arial"/>
          <w:position w:val="-1"/>
          <w:sz w:val="24"/>
          <w:szCs w:val="24"/>
        </w:rPr>
        <w:t>pyroptosis</w:t>
      </w:r>
      <w:proofErr w:type="spellEnd"/>
      <w:r w:rsidRPr="00733F8F">
        <w:rPr>
          <w:rFonts w:ascii="Arial" w:eastAsia="Arial" w:hAnsi="Arial" w:cs="Arial"/>
          <w:position w:val="-1"/>
          <w:sz w:val="24"/>
          <w:szCs w:val="24"/>
        </w:rPr>
        <w:t>. Adapted from [33] and [34].</w:t>
      </w:r>
    </w:p>
    <w:p w:rsidR="009373DC" w:rsidRDefault="009373DC"/>
    <w:sectPr w:rsidR="009373DC" w:rsidSect="00EB1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B50B34"/>
    <w:rsid w:val="005B2311"/>
    <w:rsid w:val="005F7D03"/>
    <w:rsid w:val="008B0C48"/>
    <w:rsid w:val="008F5F66"/>
    <w:rsid w:val="009373DC"/>
    <w:rsid w:val="00AC567C"/>
    <w:rsid w:val="00AE20A7"/>
    <w:rsid w:val="00B26B76"/>
    <w:rsid w:val="00B50B34"/>
    <w:rsid w:val="00B64663"/>
    <w:rsid w:val="00CF0F5F"/>
    <w:rsid w:val="00D917F2"/>
    <w:rsid w:val="00EB1369"/>
    <w:rsid w:val="00F3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3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>South Thames College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2020-04-25T20:30:00Z</dcterms:created>
  <dcterms:modified xsi:type="dcterms:W3CDTF">2020-04-25T20:32:00Z</dcterms:modified>
</cp:coreProperties>
</file>